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4"/>
        <w:gridCol w:w="4266"/>
      </w:tblGrid>
      <w:tr w:rsidR="00B95DB7" w:rsidRPr="00347A50" w:rsidTr="001811B4">
        <w:tc>
          <w:tcPr>
            <w:tcW w:w="9350" w:type="dxa"/>
            <w:gridSpan w:val="2"/>
            <w:shd w:val="clear" w:color="auto" w:fill="595959" w:themeFill="text1" w:themeFillTint="A6"/>
          </w:tcPr>
          <w:p w:rsidR="00B95DB7" w:rsidRPr="001811B4" w:rsidRDefault="00B95DB7" w:rsidP="00347A50">
            <w:pPr>
              <w:spacing w:after="0" w:line="240" w:lineRule="auto"/>
              <w:rPr>
                <w:rFonts w:eastAsia="Times New Roman" w:cs="Calibri"/>
                <w:b/>
                <w:bCs/>
                <w:smallCaps/>
                <w:color w:val="FFFFFF" w:themeColor="background1"/>
                <w:sz w:val="24"/>
                <w:szCs w:val="24"/>
              </w:rPr>
            </w:pPr>
            <w:bookmarkStart w:id="0" w:name="_GoBack"/>
            <w:bookmarkEnd w:id="0"/>
            <w:r w:rsidRPr="001811B4">
              <w:rPr>
                <w:rFonts w:eastAsia="Times New Roman" w:cs="Calibri"/>
                <w:b/>
                <w:bCs/>
                <w:smallCaps/>
                <w:color w:val="FFFFFF" w:themeColor="background1"/>
                <w:sz w:val="24"/>
                <w:szCs w:val="24"/>
              </w:rPr>
              <w:t>Addendum to ANNEX B – Responses to the Comments of the STAP and GEF Council to the for the Mediterranean Sea Programme (MedProgramme): Enhancing Environmental Security (GEF ID: 9607)</w:t>
            </w:r>
          </w:p>
          <w:p w:rsidR="00B95DB7" w:rsidRPr="00B40B51" w:rsidRDefault="00B95DB7" w:rsidP="00347A50">
            <w:pPr>
              <w:spacing w:after="0" w:line="240" w:lineRule="auto"/>
              <w:rPr>
                <w:rFonts w:eastAsia="Times New Roman" w:cs="Calibri"/>
                <w:b/>
                <w:bCs/>
                <w:iCs/>
                <w:color w:val="000000"/>
              </w:rPr>
            </w:pPr>
          </w:p>
        </w:tc>
      </w:tr>
      <w:tr w:rsidR="00B95DB7" w:rsidRPr="00347A50" w:rsidTr="001811B4">
        <w:tc>
          <w:tcPr>
            <w:tcW w:w="9350" w:type="dxa"/>
            <w:gridSpan w:val="2"/>
            <w:shd w:val="clear" w:color="auto" w:fill="A6A6A6" w:themeFill="background1" w:themeFillShade="A6"/>
          </w:tcPr>
          <w:p w:rsidR="00B95DB7" w:rsidRPr="00B95DB7" w:rsidRDefault="00B95DB7" w:rsidP="00347A50">
            <w:pPr>
              <w:spacing w:after="0" w:line="240" w:lineRule="auto"/>
              <w:rPr>
                <w:rFonts w:eastAsia="Times New Roman" w:cs="Calibri"/>
                <w:b/>
                <w:bCs/>
                <w:color w:val="000000"/>
                <w:sz w:val="26"/>
                <w:szCs w:val="26"/>
              </w:rPr>
            </w:pPr>
          </w:p>
          <w:p w:rsidR="00B95DB7" w:rsidRPr="00B40B51" w:rsidRDefault="00B95DB7" w:rsidP="00347A50">
            <w:pPr>
              <w:spacing w:after="0" w:line="240" w:lineRule="auto"/>
              <w:rPr>
                <w:rFonts w:eastAsia="Times New Roman" w:cs="Calibri"/>
                <w:b/>
                <w:bCs/>
                <w:iCs/>
                <w:color w:val="000000"/>
              </w:rPr>
            </w:pPr>
            <w:r w:rsidRPr="00B95DB7">
              <w:rPr>
                <w:rFonts w:eastAsia="Times New Roman" w:cs="Calibri"/>
                <w:b/>
                <w:bCs/>
                <w:color w:val="000000"/>
                <w:sz w:val="26"/>
                <w:szCs w:val="26"/>
              </w:rPr>
              <w:t>STAP Review</w:t>
            </w:r>
            <w:r w:rsidRPr="00B40B51">
              <w:rPr>
                <w:rFonts w:eastAsia="Times New Roman" w:cs="Calibri"/>
                <w:b/>
                <w:bCs/>
                <w:color w:val="000000"/>
              </w:rPr>
              <w:t xml:space="preserve"> </w:t>
            </w:r>
          </w:p>
        </w:tc>
      </w:tr>
      <w:tr w:rsidR="00B95DB7" w:rsidRPr="00B40B51" w:rsidTr="001811B4">
        <w:tc>
          <w:tcPr>
            <w:tcW w:w="5084" w:type="dxa"/>
            <w:shd w:val="clear" w:color="auto" w:fill="D9D9D9" w:themeFill="background1" w:themeFillShade="D9"/>
          </w:tcPr>
          <w:p w:rsidR="00B95DB7" w:rsidRDefault="00B95DB7" w:rsidP="00347A50">
            <w:pPr>
              <w:spacing w:after="0" w:line="240" w:lineRule="auto"/>
              <w:rPr>
                <w:rStyle w:val="CommentReference"/>
                <w:rFonts w:eastAsia="Times New Roman" w:cs="Calibri"/>
                <w:b/>
                <w:sz w:val="22"/>
                <w:szCs w:val="22"/>
                <w:lang w:eastAsia="x-none"/>
              </w:rPr>
            </w:pPr>
          </w:p>
          <w:p w:rsidR="00B95DB7" w:rsidRPr="00B95DB7" w:rsidRDefault="00B95DB7" w:rsidP="00347A50">
            <w:pPr>
              <w:spacing w:after="0" w:line="240" w:lineRule="auto"/>
              <w:rPr>
                <w:rStyle w:val="CommentReference"/>
                <w:rFonts w:eastAsia="Times New Roman" w:cs="Calibri"/>
                <w:b/>
                <w:sz w:val="22"/>
                <w:szCs w:val="22"/>
                <w:lang w:eastAsia="x-none"/>
              </w:rPr>
            </w:pPr>
            <w:r w:rsidRPr="00B95DB7">
              <w:rPr>
                <w:rStyle w:val="CommentReference"/>
                <w:rFonts w:eastAsia="Times New Roman" w:cs="Calibri"/>
                <w:b/>
                <w:sz w:val="22"/>
                <w:szCs w:val="22"/>
                <w:lang w:eastAsia="x-none"/>
              </w:rPr>
              <w:t>C</w:t>
            </w:r>
            <w:r w:rsidRPr="00B95DB7">
              <w:rPr>
                <w:rStyle w:val="CommentReference"/>
                <w:b/>
                <w:sz w:val="22"/>
                <w:szCs w:val="22"/>
                <w:lang w:eastAsia="x-none"/>
              </w:rPr>
              <w:t>omments</w:t>
            </w:r>
          </w:p>
        </w:tc>
        <w:tc>
          <w:tcPr>
            <w:tcW w:w="4266" w:type="dxa"/>
            <w:shd w:val="clear" w:color="auto" w:fill="D9D9D9" w:themeFill="background1" w:themeFillShade="D9"/>
          </w:tcPr>
          <w:p w:rsidR="00B95DB7" w:rsidRDefault="00B95DB7" w:rsidP="00347A50">
            <w:pPr>
              <w:spacing w:after="0" w:line="240" w:lineRule="auto"/>
              <w:rPr>
                <w:rFonts w:eastAsia="Times New Roman" w:cs="Calibri"/>
                <w:b/>
                <w:iCs/>
                <w:color w:val="000000"/>
              </w:rPr>
            </w:pPr>
          </w:p>
          <w:p w:rsidR="00B95DB7" w:rsidRPr="00B95DB7" w:rsidRDefault="00B95DB7" w:rsidP="00347A50">
            <w:pPr>
              <w:spacing w:after="0" w:line="240" w:lineRule="auto"/>
              <w:rPr>
                <w:rFonts w:eastAsia="Times New Roman" w:cs="Calibri"/>
                <w:b/>
                <w:iCs/>
                <w:color w:val="000000"/>
              </w:rPr>
            </w:pPr>
            <w:r w:rsidRPr="00B95DB7">
              <w:rPr>
                <w:rFonts w:eastAsia="Times New Roman" w:cs="Calibri"/>
                <w:b/>
                <w:iCs/>
                <w:color w:val="000000"/>
              </w:rPr>
              <w:t>Response</w:t>
            </w:r>
          </w:p>
        </w:tc>
      </w:tr>
      <w:tr w:rsidR="00B95DB7" w:rsidRPr="00B40B51" w:rsidTr="00B95DB7">
        <w:tc>
          <w:tcPr>
            <w:tcW w:w="5084" w:type="dxa"/>
            <w:shd w:val="clear" w:color="auto" w:fill="auto"/>
          </w:tcPr>
          <w:p w:rsidR="00B95DB7" w:rsidRPr="00B40B51" w:rsidRDefault="00B95DB7" w:rsidP="00347A50">
            <w:pPr>
              <w:spacing w:after="0" w:line="240" w:lineRule="auto"/>
              <w:rPr>
                <w:rStyle w:val="CommentReference"/>
                <w:rFonts w:eastAsia="Times New Roman" w:cs="Calibri"/>
                <w:sz w:val="20"/>
                <w:szCs w:val="20"/>
                <w:lang w:val="x-none" w:eastAsia="x-none"/>
              </w:rPr>
            </w:pPr>
            <w:r w:rsidRPr="00E50636">
              <w:rPr>
                <w:rStyle w:val="CommentReference"/>
                <w:rFonts w:eastAsia="Times New Roman" w:cs="Calibri"/>
                <w:sz w:val="20"/>
                <w:szCs w:val="20"/>
                <w:lang w:val="x-none" w:eastAsia="x-none"/>
              </w:rPr>
              <w:t>The need for the proposed Programme is understood by STAP to be a demand for a coordinating mechanism for the implementation of actions identified through the MedPartnership project.</w:t>
            </w:r>
          </w:p>
        </w:tc>
        <w:tc>
          <w:tcPr>
            <w:tcW w:w="4266" w:type="dxa"/>
            <w:shd w:val="clear" w:color="auto" w:fill="auto"/>
          </w:tcPr>
          <w:p w:rsidR="00B95DB7" w:rsidRPr="00E50636"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actions that will be addressed in the MedProgramme were defined by the Countries after a long and complex participatory TDA-SAP process leading to the National Action Plans where all the major stakeholders at national level were involved along with the major decision makers and political institutions. The MedPartnership was instrumental in supporting the final phase of this process in order to ensure that the NAPs were developed by the countries in a coordinated and efficient sound manner.</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The updating of the TDA proposed in Child Project 1.1 should not be permitted to distract from the implementation of the two agreed SAPs and various NAPs.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It will not, activities which address the SAPs and NAPs will be mainly implemented under CP1.2, 1.3, 2.1, 2.2 and 3.1. The CP 1.1 will work on POP and Hg, moreover it will ensure to put in place all the diagnostic tools that can help us to measure the progress to impact; being the updated TDA one of those.</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It is not clear from the PFD that the child projects proposed have been designed in a participatory manner with national and local stakeholders, particularly with civil society representatives and community groups. The PFD still reads as largely a top-down document and proponents need to address this deficit, regarding roles, responsibilities and accountabilities of stakeholders especially at sub-national level.</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 xml:space="preserve">As stated in the STAP “the Programme followed the successful implementation of the MedPartnership”. The MedProgramme has been developed by request </w:t>
            </w:r>
            <w:proofErr w:type="spellStart"/>
            <w:r w:rsidRPr="00E50636">
              <w:rPr>
                <w:rFonts w:eastAsia="Times New Roman" w:cs="Calibri"/>
                <w:iCs/>
                <w:color w:val="000000"/>
                <w:sz w:val="20"/>
                <w:szCs w:val="20"/>
              </w:rPr>
              <w:t>fo</w:t>
            </w:r>
            <w:proofErr w:type="spellEnd"/>
            <w:r w:rsidRPr="00E50636">
              <w:rPr>
                <w:rFonts w:eastAsia="Times New Roman" w:cs="Calibri"/>
                <w:iCs/>
                <w:color w:val="000000"/>
                <w:sz w:val="20"/>
                <w:szCs w:val="20"/>
              </w:rPr>
              <w:t xml:space="preserve"> the countries and with an approach that considers all the major stakeholders who will be instrumental to the implementation of the proposed activities. For example, for the investment component, both EIB and EBRD, will use the NAPs which has been endorsed at national level with a bottom-up approach involving a wide number of stakeholders at national and local level. The same applies to the conjunctive surface and groundwater management which will be implemented in those countries that recognized its importance through processes which involved (under the MedPartnership) the main stakeholders.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 xml:space="preserve">It is not clear from the PFD that the child projects proposed have been designed in a participatory manner with national and local stakeholders, particularly with civil society representatives and community groups. The PFD still reads as largely a top-down document and proponents need to address this deficit, regarding roles, responsibilities and </w:t>
            </w:r>
            <w:r w:rsidRPr="00E50636">
              <w:rPr>
                <w:rFonts w:eastAsia="Times New Roman" w:cs="Calibri"/>
                <w:color w:val="000000"/>
                <w:sz w:val="20"/>
                <w:szCs w:val="20"/>
              </w:rPr>
              <w:lastRenderedPageBreak/>
              <w:t>accountabilities of stakeholders especially at sub-national level.</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lastRenderedPageBreak/>
              <w:t xml:space="preserve">As stated in the STAP “the Programme followed the successful implementation of the MedPartnership”. The MedProgramme has been developed by request of the countries and with an approach that considers all the major stakeholders who will be instrumental to the implementation of the proposed activities. For </w:t>
            </w:r>
            <w:r w:rsidRPr="00E50636">
              <w:rPr>
                <w:rFonts w:eastAsia="Times New Roman" w:cs="Calibri"/>
                <w:iCs/>
                <w:color w:val="000000"/>
                <w:sz w:val="20"/>
                <w:szCs w:val="20"/>
              </w:rPr>
              <w:lastRenderedPageBreak/>
              <w:t>example, for the investment component, both EIB and EBRD, will use the NAPs which has been endorsed at national level with a bottom-up approach involving a wide number of stakeholders at national and local level. The same applies to the conjunctive surface and groundwater management which will be implemented in those countries that recognized its importance through processes which involved (under the MedPartnership) the main stakeholders.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lastRenderedPageBreak/>
              <w:t>Therefore, the entire Programme design should provide for sufficient flexibility and appropriate adaptive management strategies to counteract political instability and continuously changing circumstances of the countries in the Mediterranean region</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adaptive management strategy at the MedProgramme level relies on one major tool, the Annual Stocktaking Meetings, part of CP 4.1 (output 2.2). Through these major meetings all issues of concern related to changes in political will or instability in the recipient countries will become manifest and allow for timely adaptive management responses at both the Child Project and at the Program levels.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During the further preparation of the Programme and its individual projects, STAP strongly recommends using a common analytical approach using scenarios to explore possible futures and identify specific intervention points for most impactful programme/project interventions.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Done. In the selection of the many hot spots addressed by MedProgramme, a homogeneous approach has been adopted including future scenarios, whenever necessary.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Ecosystem-based adaptation solutions could be explored.</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Done. Nature based solutions, and circular economy approaches inform a number of CPs, in Particular CP 1.2 and 2.1.</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Recognizing the current regional security context, STAP recommends developing further cooperative and transboundary infrastructure to protect human security of refugees and migrants by e.g., supporting livelihoods diversification among human traffickers.</w:t>
            </w:r>
          </w:p>
        </w:tc>
        <w:tc>
          <w:tcPr>
            <w:tcW w:w="4266" w:type="dxa"/>
            <w:shd w:val="clear" w:color="auto" w:fill="auto"/>
          </w:tcPr>
          <w:p w:rsidR="00B95DB7" w:rsidRPr="00E50636"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implementing and executing partners of the MedProgramme fully recognize such much needed actions, however based on discussion with the GEF Secretariat during the development phase such kind of actions do not seem to be under GEF mandate.</w:t>
            </w:r>
          </w:p>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Nevertheless, we believe that by increasing environmental security, the MedProgramme will indirectly strive improve the conditions of migrants, and regional stability.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Many of the Programme interventions are best described in the framework of the Source to Sea concept. Programme proponents are advised to consult the recently released Source to Sea conceptual framework to consolidate and design further often loosely connected activities of the Programme (available at: http://www.thegef.org/council-meeting-documents/conceptual-framework-governing-and-managing-key-flows-source-sea-continuum).</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The source to sea conceptual framework, coupled with the GPA guidelines, has clearly inspired the MedProgramme design, which builds on the 40 years’ experience, data, information and country ownership produced by the Barcelona Convention.</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A priority not dealt with in Component 4 is provision of support to participating countries to incentivize application of IMAP to policy reform or implementation.</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The IMAP has been endorsed by the Contracting Parties to the BC in February 2016. All the countries made provision for its implementation at national level. The intention of the MedProgramme is to support and coordinate part of this process at regional level. This will happen especially under CP1.1. Moreover, CP4.1 will implement a KM Strategy which on top of bring benefit to the Programme is also helping the countries to manage the data and information produced by the child project and transfer them, as needed, to the Barcelona Convention IMAP process.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The PFD does not provide substantive evidence of ownership (the word is missing from the entire document), beyond the formal country endorsements, and as is the case with regional projects in general, an emphasis on the demand side needs to be more fully demonstrated, especially for the proposed child projects.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 xml:space="preserve">On the contrary, the Programme builds on over 20 years of GEF IW involvement in supporting the TDA-SAP-NAPs process, and on the actions of the Barcelona Convention and of its Regional Activities </w:t>
            </w:r>
            <w:proofErr w:type="spellStart"/>
            <w:r w:rsidRPr="00624489">
              <w:rPr>
                <w:rFonts w:eastAsia="Times New Roman" w:cs="Calibri"/>
                <w:iCs/>
                <w:color w:val="000000"/>
                <w:sz w:val="20"/>
                <w:szCs w:val="20"/>
              </w:rPr>
              <w:t>Centres</w:t>
            </w:r>
            <w:proofErr w:type="spellEnd"/>
            <w:r w:rsidRPr="00624489">
              <w:rPr>
                <w:rFonts w:eastAsia="Times New Roman" w:cs="Calibri"/>
                <w:iCs/>
                <w:color w:val="000000"/>
                <w:sz w:val="20"/>
                <w:szCs w:val="20"/>
              </w:rPr>
              <w:t>. This has ensured a level of country ownership rarely achieved in previous efforts globally.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 xml:space="preserve">There should also be consideration of potential non industrial sources of POPs and other toxic chemicals, and seeking out of the potential role of Integrated Pest Management (IPM) techniques to </w:t>
            </w:r>
            <w:proofErr w:type="spellStart"/>
            <w:r w:rsidRPr="00B40B51">
              <w:rPr>
                <w:rFonts w:eastAsia="Times New Roman" w:cs="Calibri"/>
                <w:color w:val="000000"/>
                <w:sz w:val="20"/>
                <w:szCs w:val="20"/>
              </w:rPr>
              <w:t>minimise</w:t>
            </w:r>
            <w:proofErr w:type="spellEnd"/>
            <w:r w:rsidRPr="00B40B51">
              <w:rPr>
                <w:rFonts w:eastAsia="Times New Roman" w:cs="Calibri"/>
                <w:color w:val="000000"/>
                <w:sz w:val="20"/>
                <w:szCs w:val="20"/>
              </w:rPr>
              <w:t xml:space="preserve"> use of pesticides in agriculture, horticulture, general pest control, vector control, structural preservation treatments and others.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The Chemicals and Waste component addresses non-industrial use of PFOS by </w:t>
            </w:r>
            <w:proofErr w:type="spellStart"/>
            <w:r w:rsidRPr="00B40B51">
              <w:rPr>
                <w:rFonts w:eastAsia="Times New Roman" w:cs="Calibri"/>
                <w:iCs/>
                <w:color w:val="000000"/>
                <w:sz w:val="20"/>
                <w:szCs w:val="20"/>
              </w:rPr>
              <w:t>fire fighting</w:t>
            </w:r>
            <w:proofErr w:type="spellEnd"/>
            <w:r w:rsidRPr="00B40B51">
              <w:rPr>
                <w:rFonts w:eastAsia="Times New Roman" w:cs="Calibri"/>
                <w:iCs/>
                <w:color w:val="000000"/>
                <w:sz w:val="20"/>
                <w:szCs w:val="20"/>
              </w:rPr>
              <w:t xml:space="preserve"> services, in line with the priorities expressed by countries in their NIPs. Country NIPs do not </w:t>
            </w:r>
            <w:proofErr w:type="spellStart"/>
            <w:r w:rsidRPr="00B40B51">
              <w:rPr>
                <w:rFonts w:eastAsia="Times New Roman" w:cs="Calibri"/>
                <w:iCs/>
                <w:color w:val="000000"/>
                <w:sz w:val="20"/>
                <w:szCs w:val="20"/>
              </w:rPr>
              <w:t>prioririze</w:t>
            </w:r>
            <w:proofErr w:type="spellEnd"/>
            <w:r w:rsidRPr="00B40B51">
              <w:rPr>
                <w:rFonts w:eastAsia="Times New Roman" w:cs="Calibri"/>
                <w:iCs/>
                <w:color w:val="000000"/>
                <w:sz w:val="20"/>
                <w:szCs w:val="20"/>
              </w:rPr>
              <w:t xml:space="preserve"> </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 xml:space="preserve">Where there are data gaps as relates to chemicals pollution, there should be careful retention of such data in the course of implementing this project, as well as key lessons learned in the course of implementation of methods to curtail chemicals pollution from various sources, including the impacts of climate change and variability on the concentration and </w:t>
            </w:r>
            <w:proofErr w:type="spellStart"/>
            <w:r w:rsidRPr="00B40B51">
              <w:rPr>
                <w:rFonts w:eastAsia="Times New Roman" w:cs="Calibri"/>
                <w:color w:val="000000"/>
                <w:sz w:val="20"/>
                <w:szCs w:val="20"/>
              </w:rPr>
              <w:t>behaviour</w:t>
            </w:r>
            <w:proofErr w:type="spellEnd"/>
            <w:r w:rsidRPr="00B40B51">
              <w:rPr>
                <w:rFonts w:eastAsia="Times New Roman" w:cs="Calibri"/>
                <w:color w:val="000000"/>
                <w:sz w:val="20"/>
                <w:szCs w:val="20"/>
              </w:rPr>
              <w:t xml:space="preserve"> of harmful chemicals.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The Child Project 1.1 includes data compilation using a GIS platform on waste inventories and for tracking of disposal progress. It also proposes collection of data on gender aspects of exposure to these waste sites. Finally it will produce lessons learnt on prevention of new POPs and mercury. </w:t>
            </w:r>
          </w:p>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Through the links with Child Project 4.1 these knowledge products will be retained systematically in the wider KM systems and made available for stakeholders. </w:t>
            </w:r>
          </w:p>
        </w:tc>
      </w:tr>
      <w:tr w:rsidR="00B95DB7" w:rsidRPr="00B40B51" w:rsidTr="001811B4">
        <w:tc>
          <w:tcPr>
            <w:tcW w:w="9350" w:type="dxa"/>
            <w:gridSpan w:val="2"/>
            <w:shd w:val="clear" w:color="auto" w:fill="A6A6A6" w:themeFill="background1" w:themeFillShade="A6"/>
          </w:tcPr>
          <w:p w:rsidR="00B95DB7" w:rsidRPr="00B95DB7" w:rsidRDefault="00B95DB7" w:rsidP="00347A50">
            <w:pPr>
              <w:spacing w:after="0" w:line="240" w:lineRule="auto"/>
              <w:rPr>
                <w:rFonts w:eastAsia="Times New Roman" w:cs="Calibri"/>
                <w:b/>
                <w:bCs/>
                <w:color w:val="000000"/>
                <w:sz w:val="26"/>
                <w:szCs w:val="26"/>
              </w:rPr>
            </w:pPr>
          </w:p>
          <w:p w:rsidR="00B95DB7" w:rsidRPr="001811B4" w:rsidRDefault="00B95DB7" w:rsidP="00347A50">
            <w:pPr>
              <w:spacing w:after="0" w:line="240" w:lineRule="auto"/>
              <w:rPr>
                <w:rFonts w:eastAsia="Times New Roman" w:cs="Calibri"/>
                <w:b/>
                <w:bCs/>
                <w:color w:val="000000"/>
                <w:sz w:val="26"/>
                <w:szCs w:val="26"/>
              </w:rPr>
            </w:pPr>
            <w:r>
              <w:rPr>
                <w:rFonts w:eastAsia="Times New Roman" w:cs="Calibri"/>
                <w:b/>
                <w:bCs/>
                <w:color w:val="000000"/>
                <w:sz w:val="26"/>
                <w:szCs w:val="26"/>
              </w:rPr>
              <w:t xml:space="preserve">GEF Council </w:t>
            </w:r>
            <w:r w:rsidRPr="00B95DB7">
              <w:rPr>
                <w:rFonts w:eastAsia="Times New Roman" w:cs="Calibri"/>
                <w:b/>
                <w:bCs/>
                <w:color w:val="000000"/>
                <w:sz w:val="26"/>
                <w:szCs w:val="26"/>
              </w:rPr>
              <w:t>Review</w:t>
            </w:r>
            <w:r w:rsidRPr="001811B4">
              <w:rPr>
                <w:rFonts w:eastAsia="Times New Roman" w:cs="Calibri"/>
                <w:b/>
                <w:bCs/>
                <w:color w:val="000000"/>
                <w:sz w:val="26"/>
                <w:szCs w:val="26"/>
              </w:rPr>
              <w:t xml:space="preserve"> </w:t>
            </w:r>
          </w:p>
        </w:tc>
      </w:tr>
      <w:tr w:rsidR="00B95DB7" w:rsidRPr="00B95DB7" w:rsidTr="001811B4">
        <w:tc>
          <w:tcPr>
            <w:tcW w:w="5084" w:type="dxa"/>
            <w:shd w:val="clear" w:color="auto" w:fill="D9D9D9" w:themeFill="background1" w:themeFillShade="D9"/>
          </w:tcPr>
          <w:p w:rsidR="00B95DB7" w:rsidRPr="001811B4" w:rsidRDefault="00B95DB7" w:rsidP="00347A50">
            <w:pPr>
              <w:spacing w:after="0" w:line="240" w:lineRule="auto"/>
              <w:rPr>
                <w:bCs/>
                <w:color w:val="000000"/>
                <w:sz w:val="26"/>
                <w:szCs w:val="26"/>
              </w:rPr>
            </w:pPr>
          </w:p>
          <w:p w:rsidR="00B95DB7" w:rsidRPr="001811B4" w:rsidRDefault="00B95DB7" w:rsidP="00347A50">
            <w:pPr>
              <w:spacing w:after="0" w:line="240" w:lineRule="auto"/>
              <w:rPr>
                <w:bCs/>
                <w:color w:val="000000"/>
                <w:sz w:val="26"/>
                <w:szCs w:val="26"/>
              </w:rPr>
            </w:pPr>
            <w:r w:rsidRPr="001811B4">
              <w:rPr>
                <w:bCs/>
                <w:color w:val="000000"/>
                <w:sz w:val="26"/>
                <w:szCs w:val="26"/>
              </w:rPr>
              <w:t>C</w:t>
            </w:r>
            <w:r w:rsidRPr="001811B4">
              <w:rPr>
                <w:rFonts w:eastAsia="Times New Roman" w:cs="Calibri"/>
                <w:bCs/>
                <w:color w:val="000000"/>
                <w:sz w:val="26"/>
                <w:szCs w:val="26"/>
              </w:rPr>
              <w:t>omments</w:t>
            </w:r>
          </w:p>
        </w:tc>
        <w:tc>
          <w:tcPr>
            <w:tcW w:w="4266" w:type="dxa"/>
            <w:shd w:val="clear" w:color="auto" w:fill="D9D9D9" w:themeFill="background1" w:themeFillShade="D9"/>
          </w:tcPr>
          <w:p w:rsidR="00B95DB7" w:rsidRPr="001811B4" w:rsidRDefault="00B95DB7" w:rsidP="00347A50">
            <w:pPr>
              <w:spacing w:after="0" w:line="240" w:lineRule="auto"/>
              <w:rPr>
                <w:rFonts w:eastAsia="Times New Roman" w:cs="Calibri"/>
                <w:b/>
                <w:bCs/>
                <w:color w:val="000000"/>
                <w:sz w:val="26"/>
                <w:szCs w:val="26"/>
              </w:rPr>
            </w:pPr>
          </w:p>
          <w:p w:rsidR="00B95DB7" w:rsidRPr="001811B4" w:rsidRDefault="00B95DB7" w:rsidP="00347A50">
            <w:pPr>
              <w:spacing w:after="0" w:line="240" w:lineRule="auto"/>
              <w:rPr>
                <w:rFonts w:eastAsia="Times New Roman" w:cs="Calibri"/>
                <w:b/>
                <w:bCs/>
                <w:color w:val="000000"/>
                <w:sz w:val="26"/>
                <w:szCs w:val="26"/>
              </w:rPr>
            </w:pPr>
            <w:r w:rsidRPr="001811B4">
              <w:rPr>
                <w:rFonts w:eastAsia="Times New Roman" w:cs="Calibri"/>
                <w:b/>
                <w:bCs/>
                <w:color w:val="000000"/>
                <w:sz w:val="26"/>
                <w:szCs w:val="26"/>
              </w:rPr>
              <w:t>Response</w:t>
            </w:r>
          </w:p>
        </w:tc>
      </w:tr>
      <w:tr w:rsidR="00B95DB7" w:rsidRPr="00E50636" w:rsidTr="00347A50">
        <w:tc>
          <w:tcPr>
            <w:tcW w:w="5084" w:type="dxa"/>
            <w:shd w:val="clear" w:color="auto" w:fill="auto"/>
          </w:tcPr>
          <w:p w:rsidR="00B95DB7" w:rsidRPr="00B40B51" w:rsidRDefault="00B95DB7" w:rsidP="00347A50">
            <w:pPr>
              <w:spacing w:after="0" w:line="240" w:lineRule="auto"/>
              <w:rPr>
                <w:rStyle w:val="CommentReference"/>
                <w:rFonts w:eastAsia="Times New Roman" w:cs="Calibri"/>
                <w:sz w:val="20"/>
                <w:szCs w:val="20"/>
                <w:lang w:val="x-none" w:eastAsia="x-none"/>
              </w:rPr>
            </w:pPr>
            <w:r w:rsidRPr="00B95DB7">
              <w:rPr>
                <w:rStyle w:val="CommentReference"/>
                <w:rFonts w:eastAsia="Times New Roman" w:cs="Calibri"/>
                <w:b/>
                <w:sz w:val="20"/>
                <w:szCs w:val="20"/>
                <w:lang w:eastAsia="x-none"/>
              </w:rPr>
              <w:t>G</w:t>
            </w:r>
            <w:r w:rsidRPr="00B95DB7">
              <w:rPr>
                <w:rStyle w:val="CommentReference"/>
                <w:b/>
                <w:sz w:val="20"/>
                <w:szCs w:val="20"/>
                <w:lang w:eastAsia="x-none"/>
              </w:rPr>
              <w:t>ermany on OUTCOME 1:</w:t>
            </w:r>
            <w:r>
              <w:t xml:space="preserve"> </w:t>
            </w:r>
            <w:r w:rsidRPr="00B95DB7">
              <w:rPr>
                <w:rStyle w:val="CommentReference"/>
                <w:rFonts w:eastAsia="Times New Roman" w:cs="Calibri"/>
                <w:sz w:val="20"/>
                <w:szCs w:val="20"/>
                <w:lang w:val="x-none" w:eastAsia="x-none"/>
              </w:rPr>
              <w:t>Reduction of land-based pollution in priority coastal hotspots and measuring progress to impacts. Germany suggests expanding the suggested focus on chemicals pollution (in particular POPS, PAHs, and mercury) to include also non-industrial sources of POPs of high relevance. Furthermore, a more detailed analysis for each country (how effective support and coordination will be reached) is recommended for better monitoring and evaluation purposes.</w:t>
            </w:r>
          </w:p>
        </w:tc>
        <w:tc>
          <w:tcPr>
            <w:tcW w:w="4266" w:type="dxa"/>
            <w:shd w:val="clear" w:color="auto" w:fill="auto"/>
          </w:tcPr>
          <w:p w:rsidR="00B95DB7" w:rsidRPr="00E50636" w:rsidRDefault="005525E4"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The reduction of land Bases Sources of pollution (LBS) and measuring of progress to impact in the Mediterranean Sea is based on a 15 years cycle stated with the Transboundary Diagnostic Analysis, followed by the preparation and endorsement by the countries of the Strategic Action Plan (SAP) for LBS (SAP-MED) and for Biodiversity (SAP-BIO). The implementation of the two SAPs led to the definition of national Action Plans were the hotspots of intervention in terms of LBS are clearly indicated and agreed upon by the countries. Unfortunately, this process did not included the tracking, monitoring and identification for POPs, PAHs and Mercury. , Nevertheless, the Child Project 1.1 </w:t>
            </w:r>
            <w:r w:rsidR="00F45C7D">
              <w:rPr>
                <w:rFonts w:eastAsia="Times New Roman" w:cs="Calibri"/>
                <w:iCs/>
                <w:color w:val="000000"/>
                <w:sz w:val="20"/>
                <w:szCs w:val="20"/>
              </w:rPr>
              <w:t xml:space="preserve">(GEF ID 9684) </w:t>
            </w:r>
            <w:r>
              <w:rPr>
                <w:rFonts w:eastAsia="Times New Roman" w:cs="Calibri"/>
                <w:iCs/>
                <w:color w:val="000000"/>
                <w:sz w:val="20"/>
                <w:szCs w:val="20"/>
              </w:rPr>
              <w:t xml:space="preserve">of the MedProgramme </w:t>
            </w:r>
            <w:r w:rsidRPr="005525E4">
              <w:rPr>
                <w:rFonts w:eastAsia="Times New Roman" w:cs="Calibri"/>
                <w:iCs/>
                <w:color w:val="000000"/>
                <w:sz w:val="20"/>
                <w:szCs w:val="20"/>
              </w:rPr>
              <w:t xml:space="preserve">addresses non-industrial use of PFOS by </w:t>
            </w:r>
            <w:r w:rsidR="00F45C7D" w:rsidRPr="005525E4">
              <w:rPr>
                <w:rFonts w:eastAsia="Times New Roman" w:cs="Calibri"/>
                <w:iCs/>
                <w:color w:val="000000"/>
                <w:sz w:val="20"/>
                <w:szCs w:val="20"/>
              </w:rPr>
              <w:t>firefighting</w:t>
            </w:r>
            <w:r w:rsidRPr="005525E4">
              <w:rPr>
                <w:rFonts w:eastAsia="Times New Roman" w:cs="Calibri"/>
                <w:iCs/>
                <w:color w:val="000000"/>
                <w:sz w:val="20"/>
                <w:szCs w:val="20"/>
              </w:rPr>
              <w:t xml:space="preserve"> services, in line with the priorities expressed by countries in their NIPs. Country NIPs do not prioritize</w:t>
            </w:r>
            <w:r>
              <w:rPr>
                <w:rFonts w:eastAsia="Times New Roman" w:cs="Calibri"/>
                <w:iCs/>
                <w:color w:val="000000"/>
                <w:sz w:val="20"/>
                <w:szCs w:val="20"/>
              </w:rPr>
              <w:t>. Moreover, the work done by the Barcelona Convention on defining stocks of POPs and Hg in the Mediterranean countries, together with the further development of this information under the MedProgramme will allow a huge step forward in the region to support the countries in their effort of addressing this issue.</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OUTCOME 4:</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Germany welcomes the promotion of an integrated coastal zone management (ICZM). Participatory management, thus the empowerment of user groups into the management decisions as well as the surveillance and monitoring is crucial for the projects’ success. A stronger emphasis on alternative livelihoods for fishing communities is recommended.</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F45C7D" w:rsidP="00347A50">
            <w:pPr>
              <w:spacing w:after="0" w:line="240" w:lineRule="auto"/>
              <w:rPr>
                <w:rFonts w:eastAsia="Times New Roman" w:cs="Calibri"/>
                <w:iCs/>
                <w:color w:val="000000"/>
                <w:sz w:val="20"/>
                <w:szCs w:val="20"/>
              </w:rPr>
            </w:pPr>
            <w:r>
              <w:rPr>
                <w:rFonts w:eastAsia="Times New Roman" w:cs="Calibri"/>
                <w:iCs/>
                <w:color w:val="000000"/>
                <w:sz w:val="20"/>
                <w:szCs w:val="20"/>
              </w:rPr>
              <w:t>Child Project 2.1 (GEF 9687) focuses on m</w:t>
            </w:r>
            <w:r w:rsidRPr="00F45C7D">
              <w:rPr>
                <w:rFonts w:eastAsia="Times New Roman" w:cs="Calibri"/>
                <w:iCs/>
                <w:color w:val="000000"/>
                <w:sz w:val="20"/>
                <w:szCs w:val="20"/>
              </w:rPr>
              <w:t>ajor coastal wetlands, lagoons, humid zones and coastal habitats, providing very valuable services and contributing to coastal livelihoods and biodiversity, are all in part or totally dependent on groundwater regimes.</w:t>
            </w:r>
            <w:r>
              <w:rPr>
                <w:rFonts w:eastAsia="Times New Roman" w:cs="Calibri"/>
                <w:iCs/>
                <w:color w:val="000000"/>
                <w:sz w:val="20"/>
                <w:szCs w:val="20"/>
              </w:rPr>
              <w:t xml:space="preserve"> This included livelihoods for fishing communities. Moreover, being the MedProgramme executed under the umbrella of the Barcelona Convention, it will benefit of the ongoing </w:t>
            </w:r>
            <w:r w:rsidR="00B60E6A">
              <w:rPr>
                <w:rFonts w:eastAsia="Times New Roman" w:cs="Calibri"/>
                <w:iCs/>
                <w:color w:val="000000"/>
                <w:sz w:val="20"/>
                <w:szCs w:val="20"/>
              </w:rPr>
              <w:t>partnership</w:t>
            </w:r>
            <w:r>
              <w:rPr>
                <w:rFonts w:eastAsia="Times New Roman" w:cs="Calibri"/>
                <w:iCs/>
                <w:color w:val="000000"/>
                <w:sz w:val="20"/>
                <w:szCs w:val="20"/>
              </w:rPr>
              <w:t xml:space="preserve"> between the Convention and the General Fishery Commission of the Mediterranean which will introduce elements related to fishing in the Programme.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OUTCOME 7:</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Germany welcomes the improvement of management capacity as well as the expansion of the Libyan Marine Protected Areas (MPA). It is recommended to incorporate the high importance of artisanal fisheries for local food security and livelihoods. The MPA management plan should imply buffer zones between the MPA and fishing areas. In these small strips local fishermen communities can use an exclusive access (ban for industrial fisheries) and benefit from extensive fisheries. Involvement of fishermen in the management of marine protected areas is crucial for their sustainability.</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F45C7D" w:rsidP="00347A50">
            <w:pPr>
              <w:spacing w:after="0" w:line="240" w:lineRule="auto"/>
              <w:rPr>
                <w:rFonts w:eastAsia="Times New Roman" w:cs="Calibri"/>
                <w:iCs/>
                <w:color w:val="000000"/>
                <w:sz w:val="20"/>
                <w:szCs w:val="20"/>
              </w:rPr>
            </w:pPr>
            <w:r>
              <w:rPr>
                <w:rFonts w:eastAsia="Times New Roman" w:cs="Calibri"/>
                <w:iCs/>
                <w:color w:val="000000"/>
                <w:sz w:val="20"/>
                <w:szCs w:val="20"/>
              </w:rPr>
              <w:t>Artisanal fisheries is included in Child Project 3.1 (GEF ID 10158), concretely in its output 31 where the importance of artisanal fishery is recognized and supported by several activities such as the preparation and dissemination of a</w:t>
            </w:r>
            <w:r w:rsidRPr="00F45C7D">
              <w:rPr>
                <w:rFonts w:eastAsia="Times New Roman" w:cs="Calibri"/>
                <w:iCs/>
                <w:color w:val="000000"/>
                <w:sz w:val="20"/>
                <w:szCs w:val="20"/>
              </w:rPr>
              <w:t xml:space="preserve"> set of communication material to promoting artisanal sustainable fishery heritage in and around the selected MPAs.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 xml:space="preserve">Germany on </w:t>
            </w:r>
            <w:r w:rsidRPr="00B95DB7">
              <w:rPr>
                <w:rStyle w:val="CommentReference"/>
                <w:b/>
                <w:sz w:val="20"/>
                <w:szCs w:val="20"/>
                <w:lang w:eastAsia="x-none"/>
              </w:rPr>
              <w:t>the MedProgramme</w:t>
            </w:r>
            <w:r w:rsidRPr="00B95DB7">
              <w:rPr>
                <w:rStyle w:val="CommentReference"/>
                <w:rFonts w:eastAsia="Times New Roman" w:cs="Calibri"/>
                <w:b/>
                <w:sz w:val="20"/>
                <w:szCs w:val="20"/>
                <w:lang w:eastAsia="x-none"/>
              </w:rPr>
              <w:t>:</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Lobbying for a higher political prioritization of the implementation of national fishery policies and frameworks promoting sustainable marine resource management.</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B60E6A"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Although this activity is not directly included in the MedProgramme (which mainly addresses the priorities defined by the Mediterranean Countries under the Protocols of the Barcelona Convention), </w:t>
            </w:r>
            <w:r w:rsidRPr="00B60E6A">
              <w:rPr>
                <w:rFonts w:eastAsia="Times New Roman" w:cs="Calibri"/>
                <w:iCs/>
                <w:color w:val="000000"/>
                <w:sz w:val="20"/>
                <w:szCs w:val="20"/>
              </w:rPr>
              <w:t>implementation of national fishery policies and frameworks promoting sustainable marine resource management</w:t>
            </w:r>
            <w:r>
              <w:rPr>
                <w:rFonts w:eastAsia="Times New Roman" w:cs="Calibri"/>
                <w:iCs/>
                <w:color w:val="000000"/>
                <w:sz w:val="20"/>
                <w:szCs w:val="20"/>
              </w:rPr>
              <w:t xml:space="preserve"> it is focus of the collaboration partnership between the Convention and the General Fishery Commission of the Mediterranean. Outcomes and outputs of this partnership will be linked to the MedProgramme.</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Pr>
                <w:rFonts w:eastAsia="Times New Roman" w:cs="Calibri"/>
                <w:sz w:val="20"/>
                <w:szCs w:val="20"/>
                <w:lang w:eastAsia="x-none"/>
              </w:rPr>
              <w:t>‘</w:t>
            </w:r>
            <w:r w:rsidRPr="00B95DB7">
              <w:rPr>
                <w:rStyle w:val="CommentReference"/>
                <w:rFonts w:eastAsia="Times New Roman" w:cs="Calibri"/>
                <w:sz w:val="20"/>
                <w:szCs w:val="20"/>
                <w:lang w:eastAsia="x-none"/>
              </w:rPr>
              <w:t>Blue Carbon’ offsets as an economic potential for coastal villages.</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B60E6A"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Although we recognize the importance of the comment made by Germany, </w:t>
            </w:r>
            <w:r>
              <w:rPr>
                <w:rFonts w:eastAsia="Times New Roman" w:cs="Calibri"/>
                <w:sz w:val="20"/>
                <w:szCs w:val="20"/>
                <w:lang w:eastAsia="x-none"/>
              </w:rPr>
              <w:t>‘</w:t>
            </w:r>
            <w:r w:rsidRPr="00B95DB7">
              <w:rPr>
                <w:rStyle w:val="CommentReference"/>
                <w:rFonts w:eastAsia="Times New Roman" w:cs="Calibri"/>
                <w:sz w:val="20"/>
                <w:szCs w:val="20"/>
                <w:lang w:eastAsia="x-none"/>
              </w:rPr>
              <w:t>Blue Carbon’ offsets as an economic potential for coastal villages</w:t>
            </w:r>
            <w:r>
              <w:rPr>
                <w:rStyle w:val="CommentReference"/>
                <w:rFonts w:eastAsia="Times New Roman" w:cs="Calibri"/>
                <w:sz w:val="20"/>
                <w:szCs w:val="20"/>
                <w:lang w:eastAsia="x-none"/>
              </w:rPr>
              <w:t xml:space="preserve"> is not in the scope of the MedProgramme. However, being the Programme executed in the wider framework of the Barcelona Convention process linkages with Blue Carbon offset and related matter will be explored and certainly made if appropriate.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Decentralized adaption strategies for the intrusion of saline groundwater into aquifers. In sunny areas PV-driven small-scale desalination plants could allow local approaches.</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C669D3" w:rsidP="00347A50">
            <w:pPr>
              <w:spacing w:after="0" w:line="240" w:lineRule="auto"/>
              <w:rPr>
                <w:rFonts w:eastAsia="Times New Roman" w:cs="Calibri"/>
                <w:iCs/>
                <w:color w:val="000000"/>
                <w:sz w:val="20"/>
                <w:szCs w:val="20"/>
              </w:rPr>
            </w:pPr>
            <w:r>
              <w:rPr>
                <w:rFonts w:eastAsia="Times New Roman" w:cs="Calibri"/>
                <w:iCs/>
                <w:color w:val="000000"/>
                <w:sz w:val="20"/>
                <w:szCs w:val="20"/>
              </w:rPr>
              <w:t>Although we recognize the importance a</w:t>
            </w:r>
            <w:r>
              <w:rPr>
                <w:iCs/>
                <w:color w:val="000000"/>
              </w:rPr>
              <w:t xml:space="preserve">nd </w:t>
            </w:r>
            <w:proofErr w:type="spellStart"/>
            <w:r>
              <w:rPr>
                <w:iCs/>
                <w:color w:val="000000"/>
              </w:rPr>
              <w:t>tehcnial</w:t>
            </w:r>
            <w:proofErr w:type="spellEnd"/>
            <w:r>
              <w:rPr>
                <w:iCs/>
                <w:color w:val="000000"/>
              </w:rPr>
              <w:t xml:space="preserve"> relevance of the comment made by Germany, desalination plan/processes/standards are not eligible under GEF 6 therefore have been removed by the Programme. Nevertheless, under Child project 1.2 (GEF ID 9717), the Barcelona Convention will develop</w:t>
            </w:r>
            <w:r>
              <w:t xml:space="preserve"> </w:t>
            </w:r>
            <w:r w:rsidRPr="00C669D3">
              <w:rPr>
                <w:iCs/>
                <w:color w:val="000000"/>
              </w:rPr>
              <w:t>common environmental standards on desalination</w:t>
            </w:r>
            <w:r>
              <w:rPr>
                <w:iCs/>
                <w:color w:val="000000"/>
              </w:rPr>
              <w:t xml:space="preserve"> for the Mediterranean Region by using NON-GEF funds. These standards will be submitted to the Conference of Contracting Parties of the Convention for consideration. If approved they will be the first step to support the approach suggested by Germany.</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The involvement of wastewater reuse and freshwater consumption reduction strategies</w:t>
            </w:r>
            <w:r w:rsidR="001811B4">
              <w:rPr>
                <w:rStyle w:val="CommentReference"/>
                <w:rFonts w:eastAsia="Times New Roman" w:cs="Calibri"/>
                <w:sz w:val="20"/>
                <w:szCs w:val="20"/>
                <w:lang w:eastAsia="x-none"/>
              </w:rPr>
              <w:t>.</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A76B44"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Child Project 1.2 (GEF ID 9717) is promoting </w:t>
            </w:r>
            <w:r w:rsidRPr="00A76B44">
              <w:rPr>
                <w:rFonts w:eastAsia="Times New Roman" w:cs="Calibri"/>
                <w:iCs/>
                <w:color w:val="000000"/>
                <w:sz w:val="20"/>
                <w:szCs w:val="20"/>
              </w:rPr>
              <w:t>investments at national level will focus on WWTP Extension and upgrade including treated wastewater reuse/reinjection (MAR)</w:t>
            </w:r>
            <w:r>
              <w:rPr>
                <w:rFonts w:eastAsia="Times New Roman" w:cs="Calibri"/>
                <w:iCs/>
                <w:color w:val="000000"/>
                <w:sz w:val="20"/>
                <w:szCs w:val="20"/>
              </w:rPr>
              <w:t xml:space="preserve"> to decrease water consumption in the countries where national actions will take place (Egypt, Lebanon and Tunisia). Moreover the same Child Project will develop  r</w:t>
            </w:r>
            <w:r w:rsidRPr="00A76B44">
              <w:rPr>
                <w:rFonts w:eastAsia="Times New Roman" w:cs="Calibri"/>
                <w:iCs/>
                <w:color w:val="000000"/>
                <w:sz w:val="20"/>
                <w:szCs w:val="20"/>
              </w:rPr>
              <w:t>egional standards on wastewater management</w:t>
            </w:r>
            <w:r>
              <w:rPr>
                <w:rFonts w:eastAsia="Times New Roman" w:cs="Calibri"/>
                <w:iCs/>
                <w:color w:val="000000"/>
                <w:sz w:val="20"/>
                <w:szCs w:val="20"/>
              </w:rPr>
              <w:t xml:space="preserve"> (including reuse)</w:t>
            </w:r>
            <w:r w:rsidRPr="00A76B44">
              <w:rPr>
                <w:rFonts w:eastAsia="Times New Roman" w:cs="Calibri"/>
                <w:iCs/>
                <w:color w:val="000000"/>
                <w:sz w:val="20"/>
                <w:szCs w:val="20"/>
              </w:rPr>
              <w:t xml:space="preserve"> for deliberation of the Contracting Parties of the Barcelona Convention.</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1811B4" w:rsidP="00347A50">
            <w:pPr>
              <w:spacing w:after="0" w:line="240" w:lineRule="auto"/>
              <w:rPr>
                <w:rStyle w:val="CommentReference"/>
                <w:rFonts w:eastAsia="Times New Roman" w:cs="Calibri"/>
                <w:b/>
                <w:sz w:val="20"/>
                <w:szCs w:val="20"/>
                <w:lang w:eastAsia="x-none"/>
              </w:rPr>
            </w:pPr>
            <w:r w:rsidRPr="00B95DB7">
              <w:rPr>
                <w:rStyle w:val="CommentReference"/>
                <w:rFonts w:eastAsia="Times New Roman" w:cs="Calibri"/>
                <w:b/>
                <w:sz w:val="20"/>
                <w:szCs w:val="20"/>
                <w:lang w:eastAsia="x-none"/>
              </w:rPr>
              <w:t>Germany on the MedProgramme</w:t>
            </w:r>
            <w:r>
              <w:rPr>
                <w:rStyle w:val="CommentReference"/>
                <w:rFonts w:eastAsia="Times New Roman" w:cs="Calibri"/>
                <w:b/>
                <w:sz w:val="20"/>
                <w:szCs w:val="20"/>
                <w:lang w:eastAsia="x-none"/>
              </w:rPr>
              <w:t>:</w:t>
            </w:r>
            <w:r w:rsidRPr="001811B4">
              <w:t xml:space="preserve"> </w:t>
            </w:r>
            <w:r w:rsidRPr="001811B4">
              <w:rPr>
                <w:rStyle w:val="CommentReference"/>
                <w:rFonts w:eastAsia="Times New Roman" w:cs="Calibri"/>
                <w:sz w:val="20"/>
                <w:szCs w:val="20"/>
                <w:lang w:eastAsia="x-none"/>
              </w:rPr>
              <w:t>More investments into wastewater-treatment facilities for the reduction of heavy metals, endocrine disrupters, plastic and other pollutants as runoff in the Mediterranean Sea.</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5624EE" w:rsidP="00347A50">
            <w:pPr>
              <w:spacing w:after="0" w:line="240" w:lineRule="auto"/>
              <w:rPr>
                <w:rFonts w:eastAsia="Times New Roman" w:cs="Calibri"/>
                <w:iCs/>
                <w:color w:val="000000"/>
                <w:sz w:val="20"/>
                <w:szCs w:val="20"/>
              </w:rPr>
            </w:pPr>
            <w:r>
              <w:rPr>
                <w:rFonts w:eastAsia="Times New Roman" w:cs="Calibri"/>
                <w:iCs/>
                <w:color w:val="000000"/>
                <w:sz w:val="20"/>
                <w:szCs w:val="20"/>
              </w:rPr>
              <w:t>Under Child Project 1.2 (GEF ID 9717) EIB will mobile more than USD 600M in investments on WWT facilities in Egypt, Lebanon and Tunisia. Moreover, the MedProgramme is already generating interest of other potential investors to engage in advanced WWTP in the region to achieve reduction of LBS of pollution and increase climate change adaptation resilience.</w:t>
            </w:r>
          </w:p>
        </w:tc>
      </w:tr>
    </w:tbl>
    <w:p w:rsidR="00B95DB7" w:rsidRPr="00B40B51" w:rsidRDefault="00B95DB7" w:rsidP="00B95DB7">
      <w:pPr>
        <w:spacing w:after="0" w:line="240" w:lineRule="auto"/>
        <w:rPr>
          <w:rFonts w:cs="Calibri"/>
          <w:b/>
          <w:bCs/>
          <w:iCs/>
          <w:color w:val="000000"/>
        </w:rPr>
      </w:pPr>
    </w:p>
    <w:p w:rsidR="00B95DB7" w:rsidRDefault="00B95DB7" w:rsidP="00B95DB7">
      <w:pPr>
        <w:spacing w:after="0" w:line="240" w:lineRule="auto"/>
        <w:rPr>
          <w:rFonts w:cs="Calibri"/>
          <w:b/>
          <w:bCs/>
          <w:iCs/>
          <w:color w:val="000000"/>
        </w:rPr>
      </w:pPr>
    </w:p>
    <w:p w:rsidR="00031CA6" w:rsidRDefault="00031CA6"/>
    <w:sectPr w:rsidR="00031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B7"/>
    <w:rsid w:val="00031CA6"/>
    <w:rsid w:val="001811B4"/>
    <w:rsid w:val="005525E4"/>
    <w:rsid w:val="005624EE"/>
    <w:rsid w:val="009D0D47"/>
    <w:rsid w:val="00A76B44"/>
    <w:rsid w:val="00B60E6A"/>
    <w:rsid w:val="00B95DB7"/>
    <w:rsid w:val="00C669D3"/>
    <w:rsid w:val="00E05819"/>
    <w:rsid w:val="00F064E5"/>
    <w:rsid w:val="00F45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E79E54-6C9E-4013-B662-E1107DAC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5DB7"/>
    <w:pPr>
      <w:spacing w:after="200" w:line="276" w:lineRule="auto"/>
    </w:pPr>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rsid w:val="00B95DB7"/>
    <w:rPr>
      <w:sz w:val="16"/>
      <w:szCs w:val="16"/>
    </w:rPr>
  </w:style>
  <w:style w:type="paragraph" w:styleId="CommentText">
    <w:name w:val="annotation text"/>
    <w:basedOn w:val="Normal"/>
    <w:link w:val="CommentTextChar"/>
    <w:uiPriority w:val="99"/>
    <w:rsid w:val="00B95DB7"/>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basedOn w:val="DefaultParagraphFont"/>
    <w:link w:val="CommentText"/>
    <w:uiPriority w:val="99"/>
    <w:rsid w:val="00B95DB7"/>
    <w:rPr>
      <w:rFonts w:ascii="Times New Roman" w:eastAsia="Times New Roman" w:hAnsi="Times New Roman" w:cs="Times New Roman"/>
      <w:sz w:val="20"/>
      <w:szCs w:val="20"/>
      <w:lang w:val="x-none" w:eastAsia="x-none"/>
    </w:rPr>
  </w:style>
  <w:style w:type="paragraph" w:styleId="BalloonText">
    <w:name w:val="Balloon Text"/>
    <w:basedOn w:val="Normal"/>
    <w:link w:val="BalloonTextChar"/>
    <w:uiPriority w:val="99"/>
    <w:semiHidden/>
    <w:unhideWhenUsed/>
    <w:rsid w:val="00B95D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5DB7"/>
    <w:rPr>
      <w:rFonts w:ascii="Segoe UI" w:eastAsia="SimSu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9685</GEFID>
    <ProjectType xmlns="ceb00776-aa5c-4fc8-b6fe-5f035152e4b6">FSP</ProjectType>
    <GEFProjectID xmlns="ceb00776-aa5c-4fc8-b6fe-5f035152e4b6">aeb2de63-df7c-e811-8124-3863bb2e1360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Mediterranean Coastal Zones:  Managing the Water-Food-Energy and Ecosystems NEXUS</ProjectTitle>
    <TrustFundType xmlns="ceb00776-aa5c-4fc8-b6fe-5f035152e4b6">GET</TrustFundType>
    <TaxCatchAll xmlns="3e02667f-0271-471b-bd6e-11a2e16def1d"/>
    <DocumentTitle xmlns="ceb00776-aa5c-4fc8-b6fe-5f035152e4b6">Addendum to ANNEX B containing Council and STAP comments and responses</DocumentTitle>
  </documentManagement>
</p:properties>
</file>

<file path=customXml/itemProps1.xml><?xml version="1.0" encoding="utf-8"?>
<ds:datastoreItem xmlns:ds="http://schemas.openxmlformats.org/officeDocument/2006/customXml" ds:itemID="{DC0A1725-CA9B-4124-A02B-1C1CEC5E7B43}"/>
</file>

<file path=customXml/itemProps2.xml><?xml version="1.0" encoding="utf-8"?>
<ds:datastoreItem xmlns:ds="http://schemas.openxmlformats.org/officeDocument/2006/customXml" ds:itemID="{2761BE13-113A-45AA-9F70-0542CB83838F}"/>
</file>

<file path=customXml/itemProps3.xml><?xml version="1.0" encoding="utf-8"?>
<ds:datastoreItem xmlns:ds="http://schemas.openxmlformats.org/officeDocument/2006/customXml" ds:itemID="{23C44682-028F-4B21-87CB-1A5D7E682E3E}"/>
</file>

<file path=docProps/app.xml><?xml version="1.0" encoding="utf-8"?>
<Properties xmlns="http://schemas.openxmlformats.org/officeDocument/2006/extended-properties" xmlns:vt="http://schemas.openxmlformats.org/officeDocument/2006/docPropsVTypes">
  <Template>Normal.dotm</Template>
  <TotalTime>1</TotalTime>
  <Pages>3</Pages>
  <Words>2350</Words>
  <Characters>13400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Galbiati</dc:creator>
  <cp:keywords/>
  <dc:description/>
  <cp:lastModifiedBy>Steffen Cole Brandstrup Hansen</cp:lastModifiedBy>
  <cp:revision>2</cp:revision>
  <dcterms:created xsi:type="dcterms:W3CDTF">2019-07-19T21:29:00Z</dcterms:created>
  <dcterms:modified xsi:type="dcterms:W3CDTF">2019-07-19T21:29:00Z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